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361</w:t>
      </w:r>
    </w:p>
    <w:p>
      <w:r>
        <w:t>Bundesgericht (BGE), 2000-07-03, DE</w:t>
      </w:r>
    </w:p>
    <w:p>
      <w:r>
        <w:rPr>
          <w:b/>
        </w:rPr>
        <w:t xml:space="preserve">Quelle: </w:t>
      </w:r>
      <w:r>
        <w:t>https://mcp.opencaselaw.ch/entscheid/bge_126 III 361</w:t>
      </w:r>
    </w:p>
    <w:p>
      <w:r>
        <w:t>FR: ATF 126 III 361</w:t>
      </w:r>
    </w:p>
    <w:p>
      <w:r>
        <w:t>IT: DTF 126 III 361</w:t>
      </w:r>
    </w:p>
    <w:p>
      <w:pPr>
        <w:pStyle w:val="Heading2"/>
      </w:pPr>
      <w:r>
        <w:t>Regeste</w:t>
      </w:r>
    </w:p>
    <w:p>
      <w:r>
        <w:t>Regeste Art. 33 und 718a OR; Art. 120 ff. OR. Gültigkeit der Vertretung bei einem Konflikt der Interessen der juristischen Person mit jenen des handelnden Organs (E. 3 und 5). Voraussetzungen für die Annahme eines Verrechnungsvertrages (E. 6).</w:t>
      </w:r>
    </w:p>
    <w:p>
      <w:pPr>
        <w:pStyle w:val="Heading2"/>
      </w:pPr>
      <w:r>
        <w:t>Erwägungen</w:t>
      </w:r>
    </w:p>
    <w:p>
      <w:r>
        <w:rPr>
          <w:b/>
        </w:rPr>
        <w:t>E. 3</w:t>
      </w:r>
    </w:p>
    <w:p>
      <w:r>
        <w:t>a) Nach herrschender Lehre und ständiger Rechtsprechung des Bundesgerichtes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 BGE 95 II 442 E. 5 S. 452 f.; BGE 89 II 321 E. 5 S. 324 ff.; BGE 82 II 388 E. 4 S. 392 ff.; ZÄCH, Berner Kommentar, N. 80 ff. zu Art. 33 OR ; WATTER, Basler Kommentar, 2. Aufl., N. 19 zu Art. 33 OR ). Nichts anderes gilt für die gesetzliche Vertretung juristischer Personen durch deren Organe. Auch in diesem Fall bedarf es einer besonderen Ermächtigung oder einer nachträglichen Genehmigung durch ein über- oder nebengeordnetes Organ, wenn die Gefahr einer Benachteiligung besteht ( BGE 95 II 442 E. 5 S. 452 f.; BGE 89 II 321 E. 5 S. 326; WATTER, a.a.O., N. 12 zu Art. 718a OR ; FORSTMOSER/MEIER-HAYOZ/NOBEL, Schweizerisches Aktienrecht, Bern 1996, § 30 N. 121 f.). Daran schliesst die Frage an, wie es sich mit der Vertretungsmacht verhält, wenn zwar kein Selbstkontrahieren, aber ein Konflikt zwischen den Interessen der juristischen Person und jenen des handelnden Organs vorliegt. Grundsätzlich ist davon auszugehen, dass die Vertretungsbefugnis nach dem mutmasslichen Willen der juristischen Person stillschweigend jene Geschäfte ausschliesst, welche sich als interessen- bzw. pflichtwidriges Vertreterhandeln erweisen (DIETER ZOBL, Probleme der organschaftlichen Vertretungsmacht, ZBJV 125 [1989] S. 289 ff., S. 295 f.). Eine stillschweigende Beschränkung der Vertretungsbefugnis kann aber dem gutgläubigen Dritten nicht entgegengehalten werden. Der Interessenkonflikt vermag die Vertretungsmacht nur zu begrenzen, wenn er für den Dritten erkennbar war oder dieser ihn wenigstens bei gebührender Sorgfalt hätte erkennen müssen (vgl. BGE 120 II 5 E. 2c S. 9; ZOBL, a.a.O., S. 306 ff.). Die Rechtslage ist bei einem Geschäft mit Interessenkonflikt BGE 126 III 361 S. 364 mithin nicht dieselbe wie beim Selbstkontrahieren. Während beim Selbstkontrahieren und der Doppelvertretung die Vertretungsmacht grundsätzlich fehlt und nur ausnahmsweise aufgrund besonderer Umstände besteht, schliesst der blosse Interessenkonflikt aus Gründen der Verkehrssicherheit die Vertretungsmacht nicht von vornherein aus, sondern lässt sie nur entfallen, wenn der Dritte den Interessenkonflikt auch erkannt hat bzw. hätte erkennen müssen. Dann aber fehlt es an der Vertretungsmacht, selbst wenn sich der Interessenkonflikt im konkreten Fall nicht zum Nachteil der vertretenen Person ausgewirkt hat (vgl. zur analogen Rechtslage bei der gesetzlichen Vertretung: BGE 118 II 101 E. 4 S. 103 ff.; BGE 107 II 105 E. 4 S. 109 ff.; zu den Ausnahmen vgl. BGE 120 II 5 E. 2c S. 9 f.). Der Interessenkonflikt bewirkt, dass der rechtsgeschäftliche Wille nicht fehlerfrei zustande kommen und damit das Rechtsgeschäft für den Vertretenen nicht wirksam werden kann. Die Regeln des Selbstkontrahierens sind deshalb analog anzuwenden (vgl. WATTER, a.a.O., N. 19 zu Art. 33 OR ; ZÄCH, a.a.O., N. 78 zu Art. 33 OR ). b) Nach den insofern unbestrittenen Feststellungen der Vorinstanz stellte die Beklagte mit der Vereinbarung vom 10. Juli 1992 Freddy Schwegler Fr. 400'000.- zur Verfügung, zu deren Rückerstattung sich jedoch die Klägerin verpflichtete. Dabei handelte Schwegler zugleich für sich persönlich und in seiner Eigenschaft als einzelzeichnungsberechtigter Verwaltungsrat für die Klägerin. Wirtschaftlich erzielten die Parteien dadurch im Ergebnis eine darlehensähnliche Begünstigung Schweglers zulasten der Klägerin, indem Letztere dessen Schuld gegenüber der Beklagten zu begleichen hatte. Um einen Fall von Selbstkontrahieren im eigentlichen Sinne handelt es sich indessen nicht, da dem fraglichen Rechtsgeschäft ein Dreipersonenverhältnis zugrunde liegt und der vorliegende Rechtsstreit zwischen dem Dritten und dem Vertretenen angehoben wurde. Die Gefahr eines Konflikts zwischen den Interessen des Organs und der Gesellschaft ist jedoch unübersehbar. Der vorliegende Fall ist somit mit demjenigen vergleichbar, der BGE 111 II 284 ff. zugrunde lag, wo eine durch ihren Hauptaktionär vertretene Gesellschaft in dessen Interesse kumulativ eine Schuld übernahm. Allerdings lagen damals keinerlei Anhaltspunkte für die Bösgläubigkeit des Dritten vor, weshalb das Bundesgericht keinen Anlass hatte, sich zu dieser Frage eingehend zu äussern (vgl. ZOBL, a.a.O., S. 307). Vorliegend behauptet die Klägerin jedoch, die Beklagte sei bösgläubig gewesen. Im Folgenden ist daher zu prüfen, ob diese den Interessenkonflikt erkannt hat oder hätte erkennen müssen. BGE 126 III 361 S. 365</w:t>
      </w:r>
    </w:p>
    <w:p>
      <w:r>
        <w:rPr>
          <w:b/>
        </w:rPr>
        <w:t>E. 4</w:t>
      </w:r>
    </w:p>
    <w:p>
      <w:r>
        <w:t>Das Handelsgericht hat - wenn auch in anderem Zusammenhang - festgestellt, beide Parteien seien davon ausgegangen, Freddy Schwegler habe nicht über die finanziellen Mittel verfügt, um die Überbauung Bauholz zu realisieren. Während die Zahlungsfähigkeit der Beklagten nie bestritten worden sei, hätten bei Schwegler diesbezüglich Zweifel bestanden. Da er nicht über das notwendige Kapital verfügt habe und den Stehbetrag gleichzeitig frei für die Überbauung verwenden durfte, habe die Vereinbarung vom 10. Juli 1992 nur den Sinn haben können, eine tatsächliche Rückerstattung des Darlehens zu gewährleisten. Wie ferner aus dem angefochtenen Urteil hervorgeht, hat die Beklagte selbst im kantonalen Verfahren vorgebracht, nur unter der Bedingung bereit gewesen zu sein, einen Teil ihrer Werklohnforderungen als Darlehen stehen zu lassen, dass die Rückzahlung über Gegengeschäfte mit der Klägerin erfolgen würde. Die Beklagte war sich somit bewusst, dass die Bonität des Empfängers Schwegler zweifelhaft war, und liess sich gerade aus diesem Grund die Rückleistung durch die offenbar solvente Klägerin versprechen. Der Konflikt zwischen den persönlichen Interessen Schweglers und denjenigen der Klägerin war mithin auch für die Beklagte augenfällig. Soweit sie in der Berufungsantwort geltend macht, es habe kein objektiver Grund zur Annahme bestanden, Schwegler werde nicht in der Lage sein, die "peu à peu entstehenden Verpflichtungen gegenüber seinem Unternehmen (Subrogationsforderung) zu erfüllen", stehen ihre Ausführungen mit den verbindlichen Feststellungen der Vorinstanz in Widerspruch. Hätte sie Schwegler tatsächlich für zahlungsfähig gehalten, ist nicht einzusehen, weshalb es überhaupt zur Vereinbarung vom 10. Juli 1992 kommen musste, wie bereits das Handelsgericht ausgeführt hat. Es ist deshalb davon auszugehen, dass die Gefahr einer Benachteiligung der Klägerin für die Beklagte erkennbar und sie diesbezüglich nicht gutgläubig war.</w:t>
      </w:r>
    </w:p>
    <w:p>
      <w:r>
        <w:rPr>
          <w:b/>
        </w:rPr>
        <w:t>E. 5</w:t>
      </w:r>
    </w:p>
    <w:p>
      <w:r>
        <w:t>Die Beklagte wendet allerdings ein, Freddy Schwegler sei der einzige Verwaltungsrat und "wirtschaftlicher Eigentümer" der Klägerin gewesen, was die Vermutung begründe, dass eine stillschweigende Bevollmächtigung bzw. Genehmigung durch die Generalversammlung vorliege. Sinngemäss macht sie damit geltend, zwischen Schwegler und der Klägerin habe gar kein Interessenkonflikt bestanden. a) In einem Entscheid aus dem Jahre 1924, der einen Fall von Selbstkontrahieren betraf, hielt das Bundesgericht fest, die Gefahr einer Benachteiligung der vertretenen Gesellschaft entfalle, wenn BGE 126 III 361 S. 366 neben dem Organ, welches das Eigengeschäft geschlossen habe, keine weiteren Aktionäre und keine Gesellschaftsgläubiger vorhanden seien. Auch wenn die Gesellschaft eine gesonderte Rechtspersönlichkeit habe und ihr Vermögen von demjenigen des Alleinaktionärs getrennt bleibe, so deckten sich doch die beidseitigen Interessensphären ( BGE 50 II 168 E. 5 S. 183 f.). Diese Rechtsprechung ist in der Lehre überwiegend auf Zustimmung gestossen (ZÄCH, a.a.O., N. 81 zu Art. 33 OR ; ZOBL, a.a.O., S. 312; ROLF PORTMANN, Das Selbstkontrahieren des Vertreters, Diss. Zürich 1941, S. 100 ff.; WALTER HEINRICH KEICHER, Das Selbstkontrahieren des Stellvertreters, Diss. Bern 1940, S. 54 f.; PAUL LEMP, Vertragsabschluss durch Organe in Doppelstellung, in: Festgabe für Wilhelm Schönenberger, Freiburg 1968, S. 309 ff., S. 327 f.). Wie das Bundesgericht im zitierten Entscheid ausführt, ist die Möglichkeit einer Schädigung der Gesellschaft der einzige ausschlaggebende Gesichtspunkt bei der Beurteilung der Zulässigkeit eines Eigengeschäftes ( BGE 50 II 168 E. 5 S. 184). Ein Schutzbedürfnis entfällt deshalb, wenn der mit sich selbst kontrahierende Vertreter zugleich Alleinaktionär ist, ist doch unter diesen Umständen zwingend zu folgern, der Abschluss des betreffenden Eigengeschäftes entspreche zugleich dem Willen der Generalversammlung und werde deshalb von der Vertretungsmacht des Organs gedeckt. Dasselbe muss a fortiori für Rechtsgeschäfte mit potentiellen Interessenkonflikten wie dem vorliegenden gelten: Sind neben dem handelnden Organ keine weiteren Aktionäre vorhanden, fehlt es von vornherein an gegenläufigen Interessen. Anders verhält es sich, wenn das Organ nicht Allein-, sondern bloss Mehrheitsaktionär ist. Ein Interessenkonflikt ist diesfalls noch nicht per se ausgeschlossen. Zum Schutze der Minderheit ist deshalb zu fordern, dass eine Ermächtigung bzw. Genehmigung mittels eines anfechtbaren Beschlusses erteilt wurde (anders ZÄCH, a.a.O., N. 81 zu Art. 33 OR , der bereits bei Besitz der Aktienmehrheit von einer Vermutung der Bevollmächtigung ausgeht). Soweit das Bundesgericht im angeführten Urteil auch die Interessen von Gesellschaftsgläubigern für erheblich erachtete, ist daran nicht festzuhalten. Zu Recht wurde in der Lehre darauf hingewiesen, dass das Verbot des Selbstkontrahierens bzw. die beschränkte Gültigkeit von Rechtsgeschäften mit Interessenkonflikten allein dem Schutz der Gesellschaft diene (ZOBL, a.a.O., S. 312 f.; PORTMANN, a.a.O., S. 102; KEICHER, a.a.O., S. 55). Den Gesellschaftsgläubigern stehen mit den paulianischen Anfechtungsklagen BGE 126 III 361 S. 367 ( Art. 285 ff. SchKG ) und der Verantwortlichkeitsklage gegenüber Verwaltungsräten ( Art. 754 OR ) andere Rechtsbehelfe zur Durchsetzung ihrer Ansprüche zur Verfügung (ZOBL, a.a.O., S. 312). b) Das angefochtene Urteil enthält keine Feststellungen zur Zusammensetzung des Aktionariats der Klägerin zur fraglichen Zeit. Die Beklagte macht in der Berufungsantwort zwar geltend, im kantonalen Verfahren sei ihre Behauptung unbestritten geblieben, Freddy Schwegler sei "wirtschaftlicher Eigentümer" der Klägerin. Was sie mit diesem Begriff im hier interessierenden Zusammenhang genau meint, bleibt indessen unklar; namentlich geht aus ihren Vorbringen nicht hervor, ob neben Schwegler noch andere Aktionäre vorhanden waren. Das aber ist für die Beurteilung der Frage, ob zwischen Freddy Schwegler und der Klägerin tatsächlich ein Interessenkonflikt bestanden hat, der den Abschluss der Vereinbarung vom 10. Juli 1992 ungültig macht, von ausschlaggebender Bedeutung. Sollte sich ergeben, dass Freddy Schwegler nicht Allein-, sondern bloss Mehrheitsaktionär war, ist zusätzlich erforderlich, dass eine spezifische Ermächtigung bzw. Genehmigung seines Handelns durch die Gesellschaft gültig stattgefunden hätte. Der vom Handelsgericht festgestellte Sachverhalt ist in diesem Sinne unvollständig, weshalb die Streitsache zur Aktenergänzung und zu neuer Entscheidung an die Vorinstanz zurückzuweisen ist ( Art. 64 Abs. 1 OG ).</w:t>
      </w:r>
    </w:p>
    <w:p>
      <w:r>
        <w:rPr>
          <w:b/>
        </w:rPr>
        <w:t>E. 6</w:t>
      </w:r>
    </w:p>
    <w:p>
      <w:r>
        <w:t>Die Klägerin rügt auch die Auffassung der Vorinstanz als bundesrechtswidrig, wonach das Verrechnungsverbot gemäss Art. 213 Abs. 2 SchKG nicht auf den vorliegenden Fall anwendbar sei. Sollte das Handelsgericht bei der erneuten Prüfung der Streitsache zum Schluss kommen, dass die Vereinbarung vom 10. Juli 1992 gültig ist, drängt es sich aus prozessökonomischen Gründen auf, die betreffenden Erwägungen des angefochtenen Urteils bereits hier auf ihre Konformität mit dem Bundesrecht hin zu überprüfen. a) Das Handelsgericht hat die Vereinbarung vom 10. Juli 1992 als Verrechnungsvertrag qualifiziert. Demnach sollten künftig entstehende Werklohnforderungen der Klägerin erlöschen, sobald sie der Darlehensforderung der Beklagten gegenüber stehen. Im Rahmen dieses Verrechnungsvertrages habe es den Parteien auch freigestanden, auf die Erfordernisse der Gegenseitigkeit und der Gleichartigkeit von Verrechnungsforderung und Hauptforderung zu verzichten. Während sich die Klägerin dieser Auffassung anschliesst, wendet die Beklagte in der Berufungsantwort erneut ein, die Leistungen der Klägerin stellten reine Erfüllungshandlungen dar, so dass für die Konstruktion eines Verrechnungstatbestandes kein Raum bleibe. BGE 126 III 361 S. 368 b) Bei der Verrechnung handelt es sich um einen besonderen, von der eigentlichen Erfüllung verschiedenen Untergangsgrund einer Forderung. Sie setzt den Bestand mindestens zweier Obligationen voraus, welche beide von der verrechnungsrechtlichen Wirkung erfasst werden (AEPLI, Zürcher Kommentar, 3. Aufl., Zürich 1991, N. 17 f. der Vorbemerkungen zu Art. 120-126 OR ). Verrechnungs- und Hauptforderung müssen zudem grundsätzlich gleichartig sein und denselben Personen jeweils als Gläubiger bzw. Schuldner zustehen. Aufgrund der weitgehend dispositiven Natur der Normen des Verrechnungsrechts steht es den Parteien jedoch frei, abweichende Abreden zu treffen. So können sie - im Einverständnis aller Beteiligten - vom Erfordernis der Gegenseitigkeit abweichen oder die Verrechnung nicht gleichartiger Leistungsgegenstände zulassen. Wird die Voraussetzung der Gleichartigkeit vertraglich wegbedungen, liegt allerdings keine Verrechnung im eigentlichen Sinne mehr vor, sondern eine Tilgung durch Hingabe an Erfüllungs Statt (AEPLI, a.a.O., N. 206 der Vorbemerkungen zu Art. 120-126 OR ; Urteil des Bundesgerichts vom 14. Dezember 1993 i.S. G., in: SJ 1994 S. 600 ff. E. 2c). c) Mit der Vereinbarung vom 10. Juli 1992 verpflichtete sich die Klägerin zur Rückerstattung eines Betrages, welchen die Beklagte Freddy Schwegler persönlich zur Verfügung gestellt hatte. Ein Darlehen im Sinne von Art. 312 ff. OR wurde indessen nicht vereinbart, sollte doch die Rückerstattung nicht mittels Geldzahlung, sondern durch das Erbringen werkvertraglicher Leistungen erfolgen. Demnach war die Beklagte vertraglich für später zu erbringende Werkleistungen der Klägerin vorauszahlungspflichtig. Nur in diesem Sinne hatte die Überlassung von Fr. 400'000.- Darlehensfunktion. Eine Forderung der Klägerin aus Werkvertrag, welche anschliessend durch Verrechnung mit der Forderung der Beklagten untergehen sollte, kam somit gar nie zur Entstehung. Vielmehr bildeten die Werkleistungen den primären Leistungsinhalt der klägerischen Verpflichtung und standen im Synallagma zur Geldhingabe. In diesem wesentlichen Punkt unterscheidet sich der vorliegende Fall von BGE 115 III 65 : Dort wurde einem Mieter vertraglich das Recht eingeräumt, die Mietzinsschuld mit Kontokorrentforderungen gegenüber der Vermieterin zu verrechnen, soweit und solange er über ein Guthaben verfügte. Bei der Überlassung der Mietsache handelte es sich mithin nicht um eine Erfüllungshandlung, sie hatte ihre Grundlage vielmehr in einem eigenen Vertragsverhältnis. Bei der hier zu beurteilenden Streitsache hingegen sollte die Klägerin BGE 126 III 361 S. 369 die Schuld Freddy Schweglers direkt durch werkvertragliche Leistungen tilgen, ohne dass es zusätzlich einer Verrechnungserklärung bedurft hätte, denn ein Recht der Beklagten, die Darlehensrückzahlung von Freddy Schwegler persönlich zu verlangen, war nicht vereinbart worden. Hinzu kommt, dass es vorliegend sowohl an der Gegenseitigkeit als auch an der Gleichartigkeit der einander gegenüberstehenden Forderungen fehlt. Wohl können die Parteien mit dem Abschluss eines Verrechnungsvertrages auch Forderungen der Verrechnung unterstellen, welche diese beiden Voraussetzungen nicht erfüllen. Nach bundesgerichtlicher Rechtsprechung ist jedoch nicht leichthin anzunehmen, die Parteien würden das Erfordernis der Gleichartigkeit vertraglich wegbedingen (Urteil des Bundesgerichts vom 14. Dezember 1993 i.S. G., in: SJ 1994 S. 603). Der Umstand, dass die in Frage stehenden Forderungen weder gegenseitig noch gleichartig sind, spricht daher gegen das Vorliegen eines Verrechnungsvertrages. Bei der Verrechnung nicht gleichartiger Leistungsgegenstände handelt es sich richtig besehen um eine Tilgung durch Hingabe an Erfüllungs Statt. Die Werkvertragsleistungen der Klägerin aber stellten nach dem Inhalt der Vereinbarung vom 10. Juli 1992 nicht etwa ein Erfüllungssurrogat, sondern den vertraglich vereinbarten normalen Erlöschensgrund der Darlehensforderung dar. Daran ändert auch der Umstand nichts, dass die Beklagte selbst in ihrer Abrechnung die Klägerin als "Verrechnungspartner" bezeichnete. Gebrauchen die Parteien eine unrichtige Bezeichnung oder Ausdrucksweise, ist dies für die Beurteilung des Vertragsinhaltes nicht massgeblich ( Art. 18 Abs. 1 OR ). Die von den Parteien vorgesehene Art und Weise der Rückerstattung des Darlehens ist nicht als Verrechnung zu qualifizieren und fällt somit von vornherein nicht unter das Verrechnungsverbot von Art. 213 Abs. 2 SchKG . Die Auffassung der Vorinstanz erweist sich deshalb im Ergebnis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